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eastAsia" w:ascii="微软雅黑" w:hAnsi="微软雅黑" w:eastAsia="微软雅黑" w:cs="Arial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Arial"/>
          <w:b/>
          <w:sz w:val="32"/>
          <w:szCs w:val="32"/>
        </w:rPr>
        <w:t>旅游与酒店管理系</w:t>
      </w:r>
      <w:r>
        <w:rPr>
          <w:rFonts w:hint="eastAsia" w:ascii="微软雅黑" w:hAnsi="微软雅黑" w:eastAsia="微软雅黑" w:cs="Arial"/>
          <w:b/>
          <w:sz w:val="32"/>
          <w:szCs w:val="32"/>
          <w:lang w:val="en-US" w:eastAsia="zh-CN"/>
        </w:rPr>
        <w:t>团总支、第六届学生会</w:t>
      </w:r>
      <w:r>
        <w:rPr>
          <w:rFonts w:hint="eastAsia" w:ascii="微软雅黑" w:hAnsi="微软雅黑" w:eastAsia="微软雅黑" w:cs="Arial"/>
          <w:b/>
          <w:sz w:val="32"/>
          <w:szCs w:val="32"/>
        </w:rPr>
        <w:t>学生干部竞聘报名表</w:t>
      </w:r>
      <w:r>
        <w:rPr>
          <w:rFonts w:hint="eastAsia" w:ascii="微软雅黑" w:hAnsi="微软雅黑" w:eastAsia="微软雅黑" w:cs="Arial"/>
          <w:b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Arial"/>
          <w:b/>
          <w:sz w:val="32"/>
          <w:szCs w:val="32"/>
          <w:lang w:val="en-US" w:eastAsia="zh-CN"/>
        </w:rPr>
        <w:t>补录专用</w:t>
      </w:r>
      <w:r>
        <w:rPr>
          <w:rFonts w:hint="eastAsia" w:ascii="微软雅黑" w:hAnsi="微软雅黑" w:eastAsia="微软雅黑" w:cs="Arial"/>
          <w:b/>
          <w:sz w:val="32"/>
          <w:szCs w:val="32"/>
          <w:lang w:eastAsia="zh-CN"/>
        </w:rPr>
        <w:t>）</w:t>
      </w:r>
    </w:p>
    <w:tbl>
      <w:tblPr>
        <w:tblStyle w:val="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5"/>
        <w:gridCol w:w="308"/>
        <w:gridCol w:w="1928"/>
        <w:gridCol w:w="2231"/>
        <w:gridCol w:w="22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7"/>
            <w:shd w:val="clear" w:color="auto" w:fill="808080"/>
          </w:tcPr>
          <w:p>
            <w:pPr>
              <w:jc w:val="left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hint="eastAsia" w:ascii="Arial" w:hAnsi="Arial" w:cs="Arial"/>
                <w:b/>
                <w:color w:val="FFFFFF"/>
                <w:szCs w:val="21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36" w:type="dxa"/>
            <w:gridSpan w:val="2"/>
            <w:shd w:val="clear" w:color="auto" w:fill="FFFFFF"/>
          </w:tcPr>
          <w:p>
            <w:pPr>
              <w:adjustRightInd w:val="0"/>
              <w:spacing w:line="400" w:lineRule="exact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姓</w:t>
            </w: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Arial"/>
                <w:szCs w:val="21"/>
              </w:rPr>
              <w:t>名</w:t>
            </w:r>
          </w:p>
        </w:tc>
        <w:tc>
          <w:tcPr>
            <w:tcW w:w="2236" w:type="dxa"/>
            <w:gridSpan w:val="2"/>
            <w:shd w:val="clear" w:color="auto" w:fill="FFFFFF"/>
          </w:tcPr>
          <w:p>
            <w:pPr>
              <w:adjustRightInd w:val="0"/>
              <w:spacing w:line="400" w:lineRule="exact"/>
              <w:jc w:val="center"/>
              <w:rPr>
                <w:rFonts w:hint="eastAsia" w:ascii="微软雅黑" w:hAnsi="微软雅黑" w:eastAsia="微软雅黑" w:cs="Arial"/>
                <w:szCs w:val="21"/>
              </w:rPr>
            </w:pPr>
          </w:p>
        </w:tc>
        <w:tc>
          <w:tcPr>
            <w:tcW w:w="2231" w:type="dxa"/>
            <w:shd w:val="clear" w:color="auto" w:fill="FFFFFF"/>
          </w:tcPr>
          <w:p>
            <w:pPr>
              <w:adjustRightInd w:val="0"/>
              <w:spacing w:line="400" w:lineRule="exact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>学    号</w:t>
            </w:r>
          </w:p>
        </w:tc>
        <w:tc>
          <w:tcPr>
            <w:tcW w:w="2231" w:type="dxa"/>
            <w:shd w:val="clear" w:color="auto" w:fill="FFFFFF"/>
          </w:tcPr>
          <w:p>
            <w:pPr>
              <w:adjustRightInd w:val="0"/>
              <w:spacing w:line="400" w:lineRule="exact"/>
              <w:jc w:val="center"/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restart"/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gridSpan w:val="2"/>
            <w:shd w:val="clear" w:color="auto" w:fill="FFFFFF"/>
          </w:tcPr>
          <w:p>
            <w:pPr>
              <w:adjustRightInd w:val="0"/>
              <w:spacing w:line="400" w:lineRule="exact"/>
              <w:jc w:val="center"/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>班    级</w:t>
            </w:r>
          </w:p>
        </w:tc>
        <w:tc>
          <w:tcPr>
            <w:tcW w:w="2236" w:type="dxa"/>
            <w:gridSpan w:val="2"/>
            <w:shd w:val="clear" w:color="auto" w:fill="FFFFFF"/>
          </w:tcPr>
          <w:p>
            <w:pPr>
              <w:adjustRightInd w:val="0"/>
              <w:spacing w:line="400" w:lineRule="exact"/>
              <w:jc w:val="center"/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</w:pPr>
          </w:p>
        </w:tc>
        <w:tc>
          <w:tcPr>
            <w:tcW w:w="2231" w:type="dxa"/>
            <w:shd w:val="clear" w:color="auto" w:fill="FFFFFF"/>
          </w:tcPr>
          <w:p>
            <w:pPr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Arial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联系电话</w:t>
            </w:r>
          </w:p>
        </w:tc>
        <w:tc>
          <w:tcPr>
            <w:tcW w:w="2231" w:type="dxa"/>
            <w:shd w:val="clear" w:color="auto" w:fill="FFFFFF"/>
          </w:tcPr>
          <w:p>
            <w:pPr>
              <w:adjustRightInd w:val="0"/>
              <w:spacing w:line="400" w:lineRule="exact"/>
              <w:jc w:val="center"/>
              <w:rPr>
                <w:rFonts w:hint="eastAsia" w:ascii="微软雅黑" w:hAnsi="微软雅黑" w:eastAsia="微软雅黑" w:cs="Arial"/>
                <w:szCs w:val="21"/>
              </w:rPr>
            </w:pPr>
          </w:p>
        </w:tc>
        <w:tc>
          <w:tcPr>
            <w:tcW w:w="1806" w:type="dxa"/>
            <w:vMerge w:val="continue"/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6" w:type="dxa"/>
            <w:gridSpan w:val="2"/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政治面貌</w:t>
            </w:r>
          </w:p>
        </w:tc>
        <w:tc>
          <w:tcPr>
            <w:tcW w:w="2236" w:type="dxa"/>
            <w:gridSpan w:val="2"/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Arial"/>
                <w:szCs w:val="21"/>
              </w:rPr>
            </w:pPr>
          </w:p>
        </w:tc>
        <w:tc>
          <w:tcPr>
            <w:tcW w:w="2231" w:type="dxa"/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Arial" w:hAnsi="Arial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>上学期成绩排名</w:t>
            </w:r>
          </w:p>
        </w:tc>
        <w:tc>
          <w:tcPr>
            <w:tcW w:w="2231" w:type="dxa"/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continue"/>
            <w:shd w:val="clear" w:color="auto" w:fill="FFFFFF"/>
            <w:vAlign w:val="center"/>
          </w:tcPr>
          <w:p>
            <w:pPr>
              <w:spacing w:line="34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竞聘部门</w:t>
            </w:r>
          </w:p>
        </w:tc>
        <w:tc>
          <w:tcPr>
            <w:tcW w:w="7833" w:type="dxa"/>
            <w:gridSpan w:val="5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第一志愿：    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第二志愿：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 xml:space="preserve">         是否服从调剂：</w:t>
            </w:r>
          </w:p>
        </w:tc>
        <w:tc>
          <w:tcPr>
            <w:tcW w:w="1806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特长</w:t>
            </w:r>
          </w:p>
        </w:tc>
        <w:tc>
          <w:tcPr>
            <w:tcW w:w="9639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7"/>
            <w:shd w:val="clear" w:color="auto" w:fill="7F7F7F"/>
          </w:tcPr>
          <w:p>
            <w:pPr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hint="eastAsia" w:ascii="Arial" w:hAnsi="Arial" w:cs="Arial"/>
                <w:b/>
                <w:color w:val="FFFFFF"/>
                <w:szCs w:val="21"/>
              </w:rPr>
              <w:t>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2544" w:type="dxa"/>
            <w:gridSpan w:val="3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default" w:ascii="微软雅黑" w:hAnsi="微软雅黑" w:eastAsia="微软雅黑" w:cs="Arial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自我评价</w:t>
            </w: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>和竞聘优势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</w:p>
        </w:tc>
        <w:tc>
          <w:tcPr>
            <w:tcW w:w="8196" w:type="dxa"/>
            <w:gridSpan w:val="4"/>
            <w:shd w:val="clear" w:color="auto" w:fill="FFFFFF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2544" w:type="dxa"/>
            <w:gridSpan w:val="3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default" w:ascii="微软雅黑" w:hAnsi="微软雅黑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>主要</w:t>
            </w:r>
            <w:r>
              <w:rPr>
                <w:rFonts w:hint="eastAsia" w:ascii="微软雅黑" w:hAnsi="微软雅黑" w:eastAsia="微软雅黑" w:cs="Arial"/>
                <w:szCs w:val="21"/>
              </w:rPr>
              <w:t>经历</w:t>
            </w: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>和所获荣誉</w:t>
            </w:r>
          </w:p>
        </w:tc>
        <w:tc>
          <w:tcPr>
            <w:tcW w:w="8196" w:type="dxa"/>
            <w:gridSpan w:val="4"/>
            <w:shd w:val="clear" w:color="auto" w:fill="FFFFFF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2544" w:type="dxa"/>
            <w:gridSpan w:val="3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default" w:ascii="微软雅黑" w:hAnsi="微软雅黑" w:eastAsia="微软雅黑" w:cs="Arial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Cs w:val="21"/>
                <w:lang w:val="en-US" w:eastAsia="zh-CN"/>
              </w:rPr>
              <w:t>任期目标和未来展望</w:t>
            </w:r>
          </w:p>
        </w:tc>
        <w:tc>
          <w:tcPr>
            <w:tcW w:w="8196" w:type="dxa"/>
            <w:gridSpan w:val="4"/>
            <w:shd w:val="clear" w:color="auto" w:fill="FFFFFF"/>
          </w:tcPr>
          <w:p>
            <w:pPr>
              <w:rPr>
                <w:rFonts w:ascii="Arial" w:hAnsi="Arial" w:cs="Arial"/>
                <w:szCs w:val="21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210" w:line="240" w:lineRule="auto"/>
        <w:ind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旅游与酒店管理系团总支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届学生会部门简介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asciiTheme="minorEastAsia" w:hAnsiTheme="minorEastAsia" w:eastAsiaTheme="minorEastAsia"/>
          <w:b w:val="0"/>
          <w:bCs w:val="0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</w:rPr>
        <w:t>组织部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隶属于旅游与酒店管理系团总支，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是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以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团结青年、引领青年、服务青年为己任的重要部门，是共青团员思想建设、组织建设和作风建设的引导者和建设者，同时也是共青团干部培养和管理的重要职能部门；贯彻执行上级党组织及学校党委的路线、方针、政策和决议，主要负责系内共青团的组织建设工作，主要工作是团组织关系转接、团费收缴、推优、三会两制一课的落实及全系团组织和团员的档案管理工作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eastAsia="zh-CN"/>
        </w:rPr>
        <w:t>。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负责人寄语：对工作充满热情，做事情能够起到锻炼自己能力的效果；富有责任心，有合作意识，心往一处想，劲往一处使，共同完成工作。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asciiTheme="minorEastAsia" w:hAnsiTheme="minorEastAsia" w:eastAsiaTheme="minor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asciiTheme="minorEastAsia" w:hAnsiTheme="minorEastAsia" w:eastAsiaTheme="minorEastAsia"/>
          <w:b w:val="0"/>
          <w:bCs w:val="0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</w:rPr>
        <w:t>实践部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隶属于旅游与酒店管理系团总支，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是在校大学生联系社会、服务社会的桥梁，以“实践自我，服务同学”为目标积极开展工作。主要负责本系宣传动员与组织开展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志愿服务、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社会实践活动，包括暑期社会实践和寒假社会实践以及平常的实习实训，提高大学生的实践动手能力；负责大学生科研立项组织开展，调动学生开展专业学习和科学研究的主动性、积极性；同时也负责一些竞赛活动的组织，例如“挑战杯”、“创青春”、“互联网＋”等大型竞赛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旨在提升成员思维能力以及办公能力，推动成员走向更大的舞台，结识更多的优秀伙伴，寻找到良师益友。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负责人寄语：只要有决心、有信心、有恒心、有耐心，你一定会在实践竞赛部，成长为一个优秀的人。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asciiTheme="minorEastAsia" w:hAnsiTheme="minorEastAsia" w:eastAsiaTheme="minor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隶属于旅游与酒店管理系学生会，主要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负责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学生会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内部各项事务协调管理，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包括人员管理、物资调配、制度考核、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材料整理建档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等；负责全系权益维护方面的工作，如卫生包干工作的安排与检查等；同时也负责开展各类讲座，负责办公室的值班工作的安排与督促，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协调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 xml:space="preserve">各部门、各类活动的开展。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负责人寄语：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在办公室，不仅能学到办公技能，还能锻炼自身统筹能力与随机应变能力，提升组织协调能力，散发自己的光芒，丰富校园生活。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学习部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隶属于旅游与酒店管理系学生会，</w:t>
      </w:r>
      <w:r>
        <w:rPr>
          <w:rFonts w:hint="eastAsia" w:asciiTheme="minorEastAsia" w:hAnsiTheme="minorEastAsia" w:eastAsiaTheme="minorEastAsia"/>
          <w:sz w:val="21"/>
          <w:szCs w:val="21"/>
        </w:rPr>
        <w:t>主要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负责学风建设的相关工作，开展学术活动，组织开展学科竞赛、学习经验交流会等，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如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系内新老生交流会、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考研经验分享会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活动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营造浓厚学习氛围；日常工作包括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查课、查晚点名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以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督促全系学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风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、班风建设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部门还负责新闻宣传工作，协助学生会其他部门举办活动的宣传、摄影摄像、推文撰写，进行</w:t>
      </w:r>
      <w:r>
        <w:rPr>
          <w:rFonts w:asciiTheme="minorEastAsia" w:hAnsiTheme="minorEastAsia" w:eastAsiaTheme="minorEastAsia"/>
          <w:b w:val="0"/>
          <w:bCs w:val="0"/>
          <w:sz w:val="21"/>
          <w:szCs w:val="21"/>
        </w:rPr>
        <w:t>学生会官方QQ，微博等公开社交软件的更新管理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负责人寄语：1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.头脑灵活，思维敏捷，</w:t>
      </w:r>
      <w:r>
        <w:rPr>
          <w:rFonts w:hint="eastAsia" w:asciiTheme="minorEastAsia" w:hAnsiTheme="minorEastAsia" w:eastAsiaTheme="minorEastAsia"/>
          <w:sz w:val="21"/>
          <w:szCs w:val="21"/>
        </w:rPr>
        <w:t>能够针对项目要求做出具体执行方案。2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有强烈的工作责任心和团队合作精神，积极主动，计划性强。3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具备良好的协调、配合和沟通能力，有一定的文案策划能力，执行力强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文体部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隶属于旅游与酒店管理系学生会，主要</w:t>
      </w:r>
      <w:r>
        <w:rPr>
          <w:rFonts w:hint="eastAsia" w:asciiTheme="minorEastAsia" w:hAnsiTheme="minorEastAsia" w:eastAsiaTheme="minorEastAsia"/>
          <w:sz w:val="21"/>
          <w:szCs w:val="21"/>
        </w:rPr>
        <w:t>负责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承办院系级文化体育活动，组织队伍参与学校各项文娱比赛以及组织策划体育活动，</w:t>
      </w:r>
      <w:r>
        <w:rPr>
          <w:rFonts w:hint="eastAsia" w:asciiTheme="minorEastAsia" w:hAnsiTheme="minorEastAsia" w:eastAsiaTheme="minorEastAsia"/>
          <w:sz w:val="21"/>
          <w:szCs w:val="21"/>
        </w:rPr>
        <w:t>如校运动会、系趣味运动会的组织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开展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增强同学们的体育观念，动员同学们积极参加体育锻炼。日常工作为</w:t>
      </w:r>
      <w:r>
        <w:rPr>
          <w:rFonts w:hint="eastAsia" w:asciiTheme="minorEastAsia" w:hAnsiTheme="minorEastAsia" w:eastAsiaTheme="minorEastAsia"/>
          <w:sz w:val="21"/>
          <w:szCs w:val="21"/>
        </w:rPr>
        <w:t>新生早操的组织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并进行检查、监督、评比，提升系内早锻炼质量，以及升旗仪式的组织。同时负责</w:t>
      </w:r>
      <w:r>
        <w:rPr>
          <w:rFonts w:hint="eastAsia" w:asciiTheme="minorEastAsia" w:hAnsiTheme="minorEastAsia" w:eastAsiaTheme="minorEastAsia"/>
          <w:sz w:val="21"/>
          <w:szCs w:val="21"/>
        </w:rPr>
        <w:t>篮球赛、辩论赛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</w:rPr>
        <w:t>法商之夜晚会节目遴选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1"/>
          <w:szCs w:val="21"/>
        </w:rPr>
        <w:t>工作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负责人寄语：时刻保持谦卑和进取心，不断学习与成长，努力与付出终会等到认可与回报！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default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风里雨里，我们在旅游与酒店管理系团总支学生会等你！！！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k3YTA3ZGI2YTkyNGI5NjM2ZDJjN2Y2NjQ2ZGQifQ=="/>
  </w:docVars>
  <w:rsids>
    <w:rsidRoot w:val="00172A27"/>
    <w:rsid w:val="000E6AD5"/>
    <w:rsid w:val="00104857"/>
    <w:rsid w:val="00172A27"/>
    <w:rsid w:val="00262ABE"/>
    <w:rsid w:val="002E0F87"/>
    <w:rsid w:val="003B3C0E"/>
    <w:rsid w:val="00484A28"/>
    <w:rsid w:val="00755FD5"/>
    <w:rsid w:val="00891506"/>
    <w:rsid w:val="00B2779F"/>
    <w:rsid w:val="00BF0A89"/>
    <w:rsid w:val="00C869B6"/>
    <w:rsid w:val="00F80982"/>
    <w:rsid w:val="00F97C1E"/>
    <w:rsid w:val="041D7601"/>
    <w:rsid w:val="05526700"/>
    <w:rsid w:val="09616722"/>
    <w:rsid w:val="0C1F7C2F"/>
    <w:rsid w:val="0EC358C8"/>
    <w:rsid w:val="180341A1"/>
    <w:rsid w:val="24FC470B"/>
    <w:rsid w:val="26F03DE0"/>
    <w:rsid w:val="279E75AC"/>
    <w:rsid w:val="2F81180C"/>
    <w:rsid w:val="34AE4372"/>
    <w:rsid w:val="416653E8"/>
    <w:rsid w:val="42AA604A"/>
    <w:rsid w:val="4517447B"/>
    <w:rsid w:val="4C3108AC"/>
    <w:rsid w:val="58153258"/>
    <w:rsid w:val="5BB10BFF"/>
    <w:rsid w:val="5C9D5A92"/>
    <w:rsid w:val="647066C8"/>
    <w:rsid w:val="704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autoRedefine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styleId="8">
    <w:name w:val="Hyperlink"/>
    <w:basedOn w:val="7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9">
    <w:name w:val="fb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paragraph" w:customStyle="1" w:styleId="11">
    <w:name w:val="gray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  <w:szCs w:val="24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src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副标题 字符"/>
    <w:basedOn w:val="7"/>
    <w:link w:val="5"/>
    <w:autoRedefine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16">
    <w:name w:val="标题 1 字符"/>
    <w:basedOn w:val="7"/>
    <w:link w:val="2"/>
    <w:autoRedefine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08FC-378C-440F-A45F-1772B410BA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1382</Words>
  <Characters>1386</Characters>
  <Lines>12</Lines>
  <Paragraphs>3</Paragraphs>
  <TotalTime>2</TotalTime>
  <ScaleCrop>false</ScaleCrop>
  <LinksUpToDate>false</LinksUpToDate>
  <CharactersWithSpaces>1440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2014-09-12T09:26:00Z</dcterms:created>
  <dc:creator>Lenovo User</dc:creator>
  <cp:lastModifiedBy>刘乐。</cp:lastModifiedBy>
  <cp:lastPrinted>2024-05-09T06:07:00Z</cp:lastPrinted>
  <dcterms:modified xsi:type="dcterms:W3CDTF">2024-05-28T01:55:24Z</dcterms:modified>
  <dc:title>校园官方认证申请公函（范例）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8E64A2BAEE61484E853C217DA149F423_13</vt:lpwstr>
  </property>
</Properties>
</file>